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B7" w:rsidRPr="00A66F04" w:rsidRDefault="00A66F04" w:rsidP="00A66F04">
      <w:pPr>
        <w:jc w:val="center"/>
        <w:rPr>
          <w:rStyle w:val="style91"/>
          <w:rFonts w:ascii="Times New Roman" w:hAnsi="Times New Roman" w:cs="Times New Roman" w:hint="eastAsia"/>
          <w:sz w:val="28"/>
          <w:szCs w:val="28"/>
        </w:rPr>
      </w:pPr>
      <w:r w:rsidRPr="00A66F04">
        <w:rPr>
          <w:rStyle w:val="style91"/>
          <w:rFonts w:ascii="Times New Roman" w:hAnsi="Times New Roman" w:cs="Times New Roman"/>
          <w:sz w:val="28"/>
          <w:szCs w:val="28"/>
        </w:rPr>
        <w:t>西南交通大学外国语学院研究生国家奖学金评审工作实施细则</w:t>
      </w:r>
    </w:p>
    <w:p w:rsidR="00A66F04" w:rsidRPr="00A66F04" w:rsidRDefault="00A66F04" w:rsidP="00A66F04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F04">
        <w:rPr>
          <w:rFonts w:ascii="Times New Roman" w:eastAsia="宋体" w:hAnsi="Times New Roman" w:cs="宋体" w:hint="eastAsia"/>
          <w:kern w:val="0"/>
          <w:sz w:val="24"/>
          <w:szCs w:val="24"/>
        </w:rPr>
        <w:t>根据财政部、教育部《研究生国家奖学金管理暂行办法》（以下简称《</w:t>
      </w:r>
      <w:r w:rsidRPr="00A66F0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A66F04">
        <w:rPr>
          <w:rFonts w:ascii="Times New Roman" w:eastAsia="宋体" w:hAnsi="Times New Roman" w:cs="宋体" w:hint="eastAsia"/>
          <w:kern w:val="0"/>
          <w:sz w:val="24"/>
          <w:szCs w:val="24"/>
        </w:rPr>
        <w:t>教育部暂行办法》）及《西南交通大学研究生国家奖学金评选管理办法（修订）》（以下简称《学校评选办法》）的精神和要求，制定本实施细则。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360" w:lineRule="auto"/>
        <w:ind w:left="397" w:hanging="39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kern w:val="0"/>
          <w:sz w:val="24"/>
          <w:szCs w:val="24"/>
        </w:rPr>
        <w:t>一、</w:t>
      </w:r>
      <w:r w:rsidRPr="00A66F04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根据以上两个文件的要求，外国语学院设立“研究生国家奖学金评审委员会”，由外国语学院“研究生</w:t>
      </w:r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奖（助）学金评选委员会”兼任，其组成人员为：</w:t>
      </w:r>
    </w:p>
    <w:p w:rsidR="00A66F04" w:rsidRPr="00A66F04" w:rsidRDefault="00A66F04" w:rsidP="00A66F04">
      <w:pPr>
        <w:widowControl/>
        <w:spacing w:before="100" w:beforeAutospacing="1" w:after="100" w:afterAutospacing="1" w:line="360" w:lineRule="auto"/>
        <w:ind w:left="46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kern w:val="0"/>
          <w:sz w:val="24"/>
          <w:szCs w:val="24"/>
        </w:rPr>
        <w:t>主任：王维民</w:t>
      </w:r>
    </w:p>
    <w:p w:rsidR="00A66F04" w:rsidRPr="00A66F04" w:rsidRDefault="00A66F04" w:rsidP="00A66F04">
      <w:pPr>
        <w:widowControl/>
        <w:spacing w:before="100" w:beforeAutospacing="1" w:after="100" w:afterAutospacing="1" w:line="360" w:lineRule="auto"/>
        <w:ind w:left="46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副主任：任新红</w:t>
      </w:r>
    </w:p>
    <w:p w:rsidR="00A66F04" w:rsidRPr="00A66F04" w:rsidRDefault="00A66F04" w:rsidP="00A66F04">
      <w:pPr>
        <w:widowControl/>
        <w:spacing w:before="100" w:beforeAutospacing="1" w:after="100" w:afterAutospacing="1" w:line="360" w:lineRule="auto"/>
        <w:ind w:left="46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委员：</w:t>
      </w:r>
      <w:proofErr w:type="gramStart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夏伟蓉</w:t>
      </w:r>
      <w:proofErr w:type="gramEnd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唐跃勤</w:t>
      </w:r>
      <w:proofErr w:type="gramEnd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 xml:space="preserve"> 王鹏飞 徐革 </w:t>
      </w:r>
      <w:proofErr w:type="gramStart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刘旭宝</w:t>
      </w:r>
      <w:proofErr w:type="gramEnd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 xml:space="preserve"> 莫</w:t>
      </w:r>
      <w:proofErr w:type="gramStart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光华陈蜀玉</w:t>
      </w:r>
      <w:proofErr w:type="gramEnd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 xml:space="preserve"> 李芹 杨羽飞（秘书） 龙艳秋  田宁</w:t>
      </w:r>
    </w:p>
    <w:p w:rsidR="00A66F04" w:rsidRPr="00A66F04" w:rsidRDefault="00A66F04" w:rsidP="00A66F04">
      <w:pPr>
        <w:widowControl/>
        <w:spacing w:before="100" w:beforeAutospacing="1" w:after="100" w:afterAutospacing="1" w:line="360" w:lineRule="auto"/>
        <w:ind w:left="46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委员会成员可因人事变动由委员会决定替换增减等。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600" w:lineRule="exact"/>
        <w:ind w:left="397" w:hanging="39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参评国家奖学金硕士研究生，需是达到《教育部暂行办法》规定的基本申请条件且学院在读全日制研究生。以下情况的研究生不在参评范围内：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60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已参加并通过了论文答辩者（无论是否办理了离校手续）；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60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参加了论文答辩但未通过者；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60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《学校评选办法》第二章第八条规定的其他情况。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520" w:lineRule="exact"/>
        <w:ind w:left="397" w:hanging="39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按上</w:t>
      </w:r>
      <w:proofErr w:type="gramStart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条确定</w:t>
      </w:r>
      <w:proofErr w:type="gramEnd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参评范围后，再按照以下顺序对具备资格者排序：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最优先排序：在本专业CSSCI学术期刊发表论文者。若条件同，按作者人数及序；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次优先排序：在本专业CSSCI扩展版发表论文者。若条件同，按作者人数及序；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再次优先排序：在本专业核心期刊上发表论文者。若此条相同，按作者人数及序；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在本学科专业竞赛中获国际一等奖者，按发表2篇本专业CSSCI学术期刊论文对待；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在本学科专业竞赛中获国际二等奖者或全国一等奖者，按发表1篇本专业CSSCI学术期刊论文对待；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在本学科专业竞赛中获全国二等奖或省级一等奖者，按发表1篇本专业核心期刊论文对待；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7.</w:t>
      </w:r>
      <w:r w:rsidRPr="00A66F04">
        <w:rPr>
          <w:rFonts w:ascii="Times New Roman" w:eastAsia="宋体" w:hAnsi="Times New Roman" w:cs="Times New Roman"/>
          <w:bCs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其他科研业绩、获奖、贡献、任职情况等均按《</w:t>
      </w:r>
      <w:r w:rsidRPr="00A66F0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外国语学院硕士研究生奖（助）学金评选实施细则(第4次修订）》（以下简称《实施细则》）计分办法计分，并与最近一次奖（助）学金排名计分合并，综合排序，不再具有优先顺序。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8.</w:t>
      </w:r>
      <w:r w:rsidRPr="00A66F04">
        <w:rPr>
          <w:rFonts w:ascii="Times New Roman" w:eastAsia="宋体" w:hAnsi="Times New Roman" w:cs="Times New Roman"/>
          <w:bCs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若自最近一次奖（助）学金评定以来无上述情况变化者，以该次奖（助）学金计分及排名为序。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520" w:lineRule="exact"/>
        <w:ind w:left="397" w:hanging="39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申报程序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本学院具备申报资格的研究生在规定的时间内填写《教育部暂行办法》中的《研究生国家奖学金申请审批表》，同时按《实施细则》的要求提供相关有效支撑材料；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学院国家奖学金评审委员会根据上述第三款中的各项条件，并综合考虑各语种人数等因素，确定最后推荐人选；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按《学校评选办法》的要求在学院网页公示推荐人员名单；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学院国家奖学金评审委员会在人选公示期间受理相关异议及投诉；</w:t>
      </w:r>
    </w:p>
    <w:p w:rsidR="00A66F04" w:rsidRPr="00A66F04" w:rsidRDefault="00A66F04" w:rsidP="00A66F04">
      <w:pPr>
        <w:widowControl/>
        <w:tabs>
          <w:tab w:val="num" w:pos="780"/>
        </w:tabs>
        <w:spacing w:before="100" w:beforeAutospacing="1" w:after="100" w:afterAutospacing="1" w:line="520" w:lineRule="exact"/>
        <w:ind w:left="78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公示期结束后名单上报研究生院综合办。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520" w:lineRule="exact"/>
        <w:ind w:left="397" w:hanging="39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原则上申报国家奖学金的各类优先排序条件均应产生自最近一次奖（助）学金评选以后至</w:t>
      </w:r>
      <w:proofErr w:type="gramStart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本次国奖申报</w:t>
      </w:r>
      <w:proofErr w:type="gramEnd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之时。若</w:t>
      </w:r>
      <w:proofErr w:type="gramStart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本次国奖评选</w:t>
      </w:r>
      <w:proofErr w:type="gramEnd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时间与最近一次奖（助）学金评选时间相隔过短，则以</w:t>
      </w:r>
      <w:proofErr w:type="gramStart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上次国奖或</w:t>
      </w:r>
      <w:proofErr w:type="gramEnd"/>
      <w:r w:rsidRPr="00A66F04">
        <w:rPr>
          <w:rFonts w:ascii="宋体" w:eastAsia="宋体" w:hAnsi="宋体" w:cs="宋体" w:hint="eastAsia"/>
          <w:kern w:val="0"/>
          <w:sz w:val="24"/>
          <w:szCs w:val="24"/>
        </w:rPr>
        <w:t>奖（助）学金评选为时间起点。但若在此期间有新的评选材料产生，则据此重新排序。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520" w:lineRule="exact"/>
        <w:ind w:left="397" w:hanging="39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若在上次评选时已经获得过国家奖学金，而本次（及以后）申请国家奖学金仍使用的是与</w:t>
      </w:r>
      <w:proofErr w:type="gramStart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上次国奖申报</w:t>
      </w:r>
      <w:proofErr w:type="gramEnd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相同的学业成绩及其他申报材料，则自动不再具备评选资格。但若自上次评选以来又增加了新的评选材料，便再次获得评选排序资格。 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520" w:lineRule="exact"/>
        <w:ind w:left="397" w:hanging="39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申请人在申报中若有弄虚作假、违反学术诚信的行为，经证实后，将取消该生本次国家奖学金评审资格以及以后各次奖（助）学金</w:t>
      </w:r>
      <w:proofErr w:type="gramStart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及国奖的</w:t>
      </w:r>
      <w:proofErr w:type="gramEnd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评选资格；如</w:t>
      </w:r>
      <w:proofErr w:type="gramStart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在国奖颁发</w:t>
      </w:r>
      <w:proofErr w:type="gramEnd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后发现，则追回该生已获得的国家奖学金及证书，并取消以后各次奖（助）学金</w:t>
      </w:r>
      <w:proofErr w:type="gramStart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及国奖的</w:t>
      </w:r>
      <w:proofErr w:type="gramEnd"/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评选资格。 </w:t>
      </w:r>
    </w:p>
    <w:p w:rsidR="00A66F04" w:rsidRPr="00A66F04" w:rsidRDefault="00A66F04" w:rsidP="00A66F04">
      <w:pPr>
        <w:widowControl/>
        <w:tabs>
          <w:tab w:val="num" w:pos="284"/>
        </w:tabs>
        <w:spacing w:before="100" w:beforeAutospacing="1" w:after="100" w:afterAutospacing="1" w:line="520" w:lineRule="exact"/>
        <w:ind w:left="397" w:hanging="397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八、</w:t>
      </w:r>
      <w:r w:rsidRPr="00A66F04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           </w:t>
      </w: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外国语学院国家奖学金评审委员会拥有对本实施细则最后解释权。</w:t>
      </w:r>
    </w:p>
    <w:p w:rsidR="00A66F04" w:rsidRPr="00A66F04" w:rsidRDefault="00A66F04" w:rsidP="00A66F04">
      <w:pPr>
        <w:widowControl/>
        <w:spacing w:before="100" w:beforeAutospacing="1" w:after="100" w:afterAutospacing="1" w:line="520" w:lineRule="exact"/>
        <w:ind w:left="42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66F04" w:rsidRPr="00A66F04" w:rsidRDefault="00A66F04" w:rsidP="00A66F04">
      <w:pPr>
        <w:widowControl/>
        <w:spacing w:before="100" w:beforeAutospacing="1" w:after="100" w:afterAutospacing="1" w:line="520" w:lineRule="exact"/>
        <w:ind w:left="42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外国语学院国家奖学金评审委员</w:t>
      </w:r>
    </w:p>
    <w:p w:rsidR="00A66F04" w:rsidRPr="00A66F04" w:rsidRDefault="00A66F04" w:rsidP="00A66F04">
      <w:pPr>
        <w:widowControl/>
        <w:spacing w:before="100" w:beforeAutospacing="1" w:after="100" w:afterAutospacing="1" w:line="520" w:lineRule="exact"/>
        <w:ind w:left="42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A66F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2013年9月（修订）</w:t>
      </w:r>
    </w:p>
    <w:sectPr w:rsidR="00A66F04" w:rsidRPr="00A66F04" w:rsidSect="00F9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F04"/>
    <w:rsid w:val="001E29B4"/>
    <w:rsid w:val="00A6016A"/>
    <w:rsid w:val="00A66F04"/>
    <w:rsid w:val="00F9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basedOn w:val="a0"/>
    <w:rsid w:val="00A66F04"/>
    <w:rPr>
      <w:b/>
      <w:bCs/>
      <w:sz w:val="21"/>
      <w:szCs w:val="21"/>
    </w:rPr>
  </w:style>
  <w:style w:type="paragraph" w:customStyle="1" w:styleId="listparagraph">
    <w:name w:val="listparagraph"/>
    <w:basedOn w:val="a"/>
    <w:rsid w:val="00A66F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1400</Characters>
  <Application>Microsoft Office Word</Application>
  <DocSecurity>0</DocSecurity>
  <Lines>11</Lines>
  <Paragraphs>3</Paragraphs>
  <ScaleCrop>false</ScaleCrop>
  <Company>China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2014-05-16T09:15:00Z</dcterms:created>
  <dcterms:modified xsi:type="dcterms:W3CDTF">2014-05-16T09:17:00Z</dcterms:modified>
</cp:coreProperties>
</file>