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39" w:rsidRPr="00360C39" w:rsidRDefault="00360C39" w:rsidP="002E035C">
      <w:pPr>
        <w:pStyle w:val="a5"/>
        <w:shd w:val="clear" w:color="auto" w:fill="FFFFFF"/>
        <w:spacing w:before="300" w:beforeAutospacing="0" w:after="300" w:afterAutospacing="0" w:line="400" w:lineRule="exact"/>
        <w:jc w:val="center"/>
        <w:rPr>
          <w:rFonts w:hint="eastAsia"/>
          <w:color w:val="333333"/>
        </w:rPr>
      </w:pPr>
      <w:r w:rsidRPr="00360C39">
        <w:rPr>
          <w:rStyle w:val="a6"/>
          <w:rFonts w:hint="eastAsia"/>
          <w:color w:val="333333"/>
        </w:rPr>
        <w:t>中华人民共和国个人所得税法</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360C39">
        <w:rPr>
          <w:rFonts w:hint="eastAsia"/>
          <w:color w:val="333333"/>
        </w:rPr>
        <w:t xml:space="preserve">　</w:t>
      </w:r>
      <w:r w:rsidRPr="002E035C">
        <w:rPr>
          <w:rFonts w:hint="eastAsia"/>
          <w:color w:val="333333"/>
        </w:rPr>
        <w:t xml:space="preserve">　</w:t>
      </w:r>
      <w:r w:rsidRPr="002E035C">
        <w:rPr>
          <w:rStyle w:val="a6"/>
          <w:rFonts w:hint="eastAsia"/>
          <w:color w:val="333333"/>
        </w:rPr>
        <w:t>第一条</w:t>
      </w:r>
      <w:r w:rsidRPr="002E035C">
        <w:rPr>
          <w:rFonts w:hint="eastAsia"/>
          <w:color w:val="333333"/>
        </w:rPr>
        <w:t xml:space="preserve">　在中国境内有住所，或者无住所而在境内居住满一年的个人，从中国境内和境外取得的所得，依照本法规定缴纳个人所得税。</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在中国境内无住所又不居住或者无住所而在境内居住不满一年的个人，从中国境内取得的所得，依照本法规定缴纳个人所得税。</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第二条</w:t>
      </w:r>
      <w:r w:rsidRPr="002E035C">
        <w:rPr>
          <w:rFonts w:hint="eastAsia"/>
          <w:color w:val="333333"/>
        </w:rPr>
        <w:t xml:space="preserve">　下列各项个人所得，应纳个人所得税：</w:t>
      </w:r>
    </w:p>
    <w:p w:rsidR="00052990" w:rsidRPr="002E035C" w:rsidRDefault="00360C39" w:rsidP="00052990">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一、工资、薪金所得；</w:t>
      </w:r>
      <w:r w:rsidR="00052990" w:rsidRPr="002E035C">
        <w:rPr>
          <w:rFonts w:hint="eastAsia"/>
          <w:color w:val="333333"/>
        </w:rPr>
        <w:t xml:space="preserve">　二、个体工商户的生产、经营所得；　三、对企事业单位的承包经营、承租经营所得；四、劳务报酬所得；五、稿酬所得；　六、特许权使用费所得；七、利息、股息、红利所得；八、财产租赁所得；　九、财产转让所得；十、偶然所得；十一、经国务院财政部门确定征税的其他所得。</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第三条</w:t>
      </w:r>
      <w:r w:rsidRPr="002E035C">
        <w:rPr>
          <w:rFonts w:hint="eastAsia"/>
          <w:color w:val="333333"/>
        </w:rPr>
        <w:t xml:space="preserve">　个人所得税的税率：</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一、工资、薪金所得，适用超额累进税率，税率为百分之三至百分之四十五（税率表附后）。</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二、个体工商户的生产、经营所得和对企事业单位的</w:t>
      </w:r>
      <w:hyperlink r:id="rId6" w:tgtFrame="_blank" w:history="1">
        <w:r w:rsidRPr="002E035C">
          <w:rPr>
            <w:rStyle w:val="a7"/>
            <w:rFonts w:hint="eastAsia"/>
          </w:rPr>
          <w:t>承包经营</w:t>
        </w:r>
      </w:hyperlink>
      <w:r w:rsidRPr="002E035C">
        <w:rPr>
          <w:rFonts w:hint="eastAsia"/>
          <w:color w:val="333333"/>
        </w:rPr>
        <w:t>、承租经营所得，适用百分之五至百分之三十五的超额累进税率（税率表附后）。</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三、稿酬所得，适用比例税率，税率为百分之二十，并按应纳税额减征百分之三十。</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四、劳务报酬所得，适用比例税率，税率为百分之二十。对劳务报酬所得一次收入畸高的，可以实行加成征收，具体办法由国务院规定。</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五、特许权使用费所得，利息、</w:t>
      </w:r>
      <w:hyperlink r:id="rId7" w:tgtFrame="_blank" w:history="1">
        <w:r w:rsidRPr="002E035C">
          <w:rPr>
            <w:rStyle w:val="a7"/>
            <w:rFonts w:hint="eastAsia"/>
          </w:rPr>
          <w:t>股息</w:t>
        </w:r>
      </w:hyperlink>
      <w:r w:rsidRPr="002E035C">
        <w:rPr>
          <w:rFonts w:hint="eastAsia"/>
          <w:color w:val="333333"/>
        </w:rPr>
        <w:t>、红利所得，</w:t>
      </w:r>
      <w:hyperlink r:id="rId8" w:tgtFrame="_blank" w:history="1">
        <w:r w:rsidRPr="002E035C">
          <w:rPr>
            <w:rStyle w:val="a7"/>
            <w:rFonts w:hint="eastAsia"/>
          </w:rPr>
          <w:t>财产</w:t>
        </w:r>
      </w:hyperlink>
      <w:r w:rsidRPr="002E035C">
        <w:rPr>
          <w:rFonts w:hint="eastAsia"/>
          <w:color w:val="333333"/>
        </w:rPr>
        <w:t>租赁所得，财产转让所得，偶然所得和其他所得，适用比例</w:t>
      </w:r>
      <w:hyperlink r:id="rId9" w:tgtFrame="_blank" w:history="1">
        <w:r w:rsidRPr="002E035C">
          <w:rPr>
            <w:rStyle w:val="a7"/>
            <w:rFonts w:hint="eastAsia"/>
          </w:rPr>
          <w:t>税率</w:t>
        </w:r>
      </w:hyperlink>
      <w:r w:rsidRPr="002E035C">
        <w:rPr>
          <w:rFonts w:hint="eastAsia"/>
          <w:color w:val="333333"/>
        </w:rPr>
        <w:t>，税率为百分之二十。</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第四条</w:t>
      </w:r>
      <w:r w:rsidRPr="002E035C">
        <w:rPr>
          <w:rFonts w:hint="eastAsia"/>
          <w:color w:val="333333"/>
        </w:rPr>
        <w:t xml:space="preserve">　下列各项个人所得，免纳个人所得税：</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一、省级</w:t>
      </w:r>
      <w:hyperlink r:id="rId10" w:tgtFrame="_blank" w:history="1">
        <w:r w:rsidRPr="002E035C">
          <w:rPr>
            <w:rStyle w:val="a7"/>
            <w:rFonts w:hint="eastAsia"/>
          </w:rPr>
          <w:t>人民政府</w:t>
        </w:r>
      </w:hyperlink>
      <w:r w:rsidRPr="002E035C">
        <w:rPr>
          <w:rFonts w:hint="eastAsia"/>
          <w:color w:val="333333"/>
        </w:rPr>
        <w:t>、国务院部委和中国人民解放军军以上单位，以及外国组织、国际组织颁发的科学、教育、技术、文化、卫生、体育、环境保护等方面的奖金；</w:t>
      </w:r>
    </w:p>
    <w:p w:rsidR="00360C39" w:rsidRPr="002E035C" w:rsidRDefault="00052990" w:rsidP="002E035C">
      <w:pPr>
        <w:pStyle w:val="a5"/>
        <w:shd w:val="clear" w:color="auto" w:fill="FFFFFF"/>
        <w:spacing w:before="0" w:beforeAutospacing="0" w:after="0" w:afterAutospacing="0" w:line="400" w:lineRule="exact"/>
        <w:rPr>
          <w:rFonts w:hint="eastAsia"/>
          <w:color w:val="333333"/>
        </w:rPr>
      </w:pPr>
      <w:r>
        <w:rPr>
          <w:rFonts w:hint="eastAsia"/>
          <w:color w:val="333333"/>
        </w:rPr>
        <w:t xml:space="preserve">　 </w:t>
      </w:r>
      <w:r w:rsidR="00360C39" w:rsidRPr="002E035C">
        <w:rPr>
          <w:rFonts w:hint="eastAsia"/>
          <w:color w:val="333333"/>
        </w:rPr>
        <w:t>二、国债和国家发行的金融债券利息；</w:t>
      </w:r>
      <w:r w:rsidRPr="002E035C">
        <w:rPr>
          <w:rFonts w:hint="eastAsia"/>
          <w:color w:val="333333"/>
        </w:rPr>
        <w:t xml:space="preserve">　三、按照国家统一规定发给的补贴、津贴；四、</w:t>
      </w:r>
      <w:hyperlink r:id="rId11" w:tgtFrame="_blank" w:history="1">
        <w:r w:rsidRPr="002E035C">
          <w:rPr>
            <w:rStyle w:val="a7"/>
            <w:rFonts w:hint="eastAsia"/>
          </w:rPr>
          <w:t>福利费</w:t>
        </w:r>
      </w:hyperlink>
      <w:r w:rsidRPr="002E035C">
        <w:rPr>
          <w:rFonts w:hint="eastAsia"/>
          <w:color w:val="333333"/>
        </w:rPr>
        <w:t>、抚恤金、救济金；五、保险赔款；六、军人的转业费、复员费；</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00052990">
        <w:rPr>
          <w:rFonts w:hint="eastAsia"/>
          <w:color w:val="333333"/>
        </w:rPr>
        <w:t xml:space="preserve"> </w:t>
      </w:r>
      <w:r w:rsidRPr="002E035C">
        <w:rPr>
          <w:rFonts w:hint="eastAsia"/>
          <w:color w:val="333333"/>
        </w:rPr>
        <w:t>七、按照国家统一规定发给干部、职工的安家费、退职费、退休工资、离休工资、离休生活补助费；</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八、依照我国有关法律规定应予免税的各国驻华使馆、领事馆的外交代表、领事官员和其他人员的所得；</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九、中国政府参加的国际公约、签订的协议中规定免税的所得；</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lastRenderedPageBreak/>
        <w:t xml:space="preserve">　　十、经国务院财政部门批准</w:t>
      </w:r>
      <w:hyperlink r:id="rId12" w:tgtFrame="_blank" w:history="1">
        <w:r w:rsidRPr="002E035C">
          <w:rPr>
            <w:rStyle w:val="a7"/>
            <w:rFonts w:hint="eastAsia"/>
          </w:rPr>
          <w:t>免税</w:t>
        </w:r>
      </w:hyperlink>
      <w:r w:rsidRPr="002E035C">
        <w:rPr>
          <w:rFonts w:hint="eastAsia"/>
          <w:color w:val="333333"/>
        </w:rPr>
        <w:t>的所得。</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第五条</w:t>
      </w:r>
      <w:r w:rsidRPr="002E035C">
        <w:rPr>
          <w:rFonts w:hint="eastAsia"/>
          <w:color w:val="333333"/>
        </w:rPr>
        <w:t xml:space="preserve">　有下列情形之一的，经批准可以减征个人所得税：</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一、残疾、孤老人员和烈属的所得；</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二、因严重自然灾害造成重大损失的；</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三、其他经国务院财政部门批准减税的。</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第六条</w:t>
      </w:r>
      <w:r w:rsidRPr="002E035C">
        <w:rPr>
          <w:rFonts w:hint="eastAsia"/>
          <w:color w:val="333333"/>
        </w:rPr>
        <w:t xml:space="preserve">　应纳税所得额的计算：</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一、工资、薪金所得，以每月收入额减除费用三千五百元后的余额，为应纳税所得额。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二、个体工商户的生产、经营所得，以每一纳税年度的收入总额减除成本、费用以及损失后的余额，为应纳税所得额。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三、对企事业单位的</w:t>
      </w:r>
      <w:hyperlink r:id="rId13" w:tgtFrame="_blank" w:history="1">
        <w:r w:rsidRPr="002E035C">
          <w:rPr>
            <w:rStyle w:val="a7"/>
            <w:rFonts w:hint="eastAsia"/>
          </w:rPr>
          <w:t>承包经营</w:t>
        </w:r>
      </w:hyperlink>
      <w:r w:rsidRPr="002E035C">
        <w:rPr>
          <w:rFonts w:hint="eastAsia"/>
          <w:color w:val="333333"/>
        </w:rPr>
        <w:t>、承租经营所得，以每一纳税年度的收入总额，减除必要费用后的余额，为应纳税所得额。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四、劳务报酬所得、稿酬所得、特许权使用费所得、财产租赁所得，每次收入不超过四千元的，减除费用八百元；四千元以上的，减除百分之二十的费用，其余额为应纳税所得额。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五、</w:t>
      </w:r>
      <w:hyperlink r:id="rId14" w:tgtFrame="_blank" w:history="1">
        <w:r w:rsidRPr="002E035C">
          <w:rPr>
            <w:rStyle w:val="a7"/>
            <w:rFonts w:hint="eastAsia"/>
          </w:rPr>
          <w:t>财产</w:t>
        </w:r>
      </w:hyperlink>
      <w:r w:rsidRPr="002E035C">
        <w:rPr>
          <w:rFonts w:hint="eastAsia"/>
          <w:color w:val="333333"/>
        </w:rPr>
        <w:t>转让所得，以转让财产的收入额减除财产原值和合理费用后的余额，为应纳税所得额。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六、利息、</w:t>
      </w:r>
      <w:hyperlink r:id="rId15" w:tgtFrame="_blank" w:history="1">
        <w:r w:rsidRPr="002E035C">
          <w:rPr>
            <w:rStyle w:val="a7"/>
            <w:rFonts w:hint="eastAsia"/>
          </w:rPr>
          <w:t>股息</w:t>
        </w:r>
      </w:hyperlink>
      <w:r w:rsidRPr="002E035C">
        <w:rPr>
          <w:rFonts w:hint="eastAsia"/>
          <w:color w:val="333333"/>
        </w:rPr>
        <w:t>、红利所得，偶然所得和其他所得，以每次收入额为应纳税所得额。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个人将其所得对教育事业和其他公益事业捐赠的部分，按照国务院有关规定从应纳税所得中扣除。</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第七条</w:t>
      </w:r>
      <w:r w:rsidRPr="002E035C">
        <w:rPr>
          <w:rFonts w:hint="eastAsia"/>
          <w:color w:val="333333"/>
        </w:rPr>
        <w:t xml:space="preserve">　纳税义务人从中国境外取得的所得，准予其在应纳税额中扣除已在境外缴纳的个人所得税税额。但扣除额不得超过该纳税义务人境外所得依照本法规定计算的应纳税额。</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第八条</w:t>
      </w:r>
      <w:r w:rsidRPr="002E035C">
        <w:rPr>
          <w:rFonts w:hint="eastAsia"/>
          <w:color w:val="333333"/>
        </w:rPr>
        <w:t>个人所得税，以所得人为纳税义务人，以支付所得的单位或者个人为扣缴义务人。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第九条</w:t>
      </w:r>
      <w:r w:rsidRPr="002E035C">
        <w:rPr>
          <w:rFonts w:hint="eastAsia"/>
          <w:color w:val="333333"/>
        </w:rPr>
        <w:t xml:space="preserve">　扣缴义务人每月所扣的税款，自行申报纳税人每月应纳的税款，都应当在次月十五日内缴入国库，并向税务机关报送纳税申报表。</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lastRenderedPageBreak/>
        <w:t xml:space="preserve">　工资、薪金所得应纳的税款，按月计征，由扣缴义务人或者纳税义务人在次月十五日内缴入国库，并向税务机关报送纳税申报表。特定行业的工资、薪金所得应纳的税款，可以实行按年计算、分月预缴的方式计征，具体办法由国务院规定。</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个体工商户的生产、经营所得应纳的税款，按年计算，分月预缴，由纳税义务人在次月十五日内预缴，年度终了后三个月内汇算清缴，多退少补。</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对企事业单位的</w:t>
      </w:r>
      <w:hyperlink r:id="rId16" w:tgtFrame="_blank" w:history="1">
        <w:r w:rsidRPr="002E035C">
          <w:rPr>
            <w:rStyle w:val="a7"/>
            <w:rFonts w:hint="eastAsia"/>
          </w:rPr>
          <w:t>承包经营</w:t>
        </w:r>
      </w:hyperlink>
      <w:r w:rsidRPr="002E035C">
        <w:rPr>
          <w:rFonts w:hint="eastAsia"/>
          <w:color w:val="333333"/>
        </w:rPr>
        <w:t>、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从中国境外取得所得的纳税义务人，应当在年度终了后三十日内，将应纳的税款缴入国库，并向税务机关报送纳税申报表。</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第十条</w:t>
      </w:r>
      <w:r w:rsidRPr="002E035C">
        <w:rPr>
          <w:rFonts w:hint="eastAsia"/>
          <w:color w:val="333333"/>
        </w:rPr>
        <w:t xml:space="preserve">　各项所得的计算，以人民币为单位。所得为外国货币的，按照国家外汇管理机关规定的外汇牌价折合成人民币缴纳税款。</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第十一条</w:t>
      </w:r>
      <w:r w:rsidRPr="002E035C">
        <w:rPr>
          <w:rFonts w:hint="eastAsia"/>
          <w:color w:val="333333"/>
        </w:rPr>
        <w:t xml:space="preserve">　对扣缴义务人按照所扣缴的税款，付给百分之二的手续费。</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第十二条</w:t>
      </w:r>
      <w:r w:rsidRPr="002E035C">
        <w:rPr>
          <w:rFonts w:hint="eastAsia"/>
          <w:color w:val="333333"/>
        </w:rPr>
        <w:t xml:space="preserve">　对储蓄存款利息所得开征、减征、停征个人所得税及其具体办法，由国务院规定。</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第十三条</w:t>
      </w:r>
      <w:r w:rsidRPr="002E035C">
        <w:rPr>
          <w:rFonts w:hint="eastAsia"/>
          <w:color w:val="333333"/>
        </w:rPr>
        <w:t xml:space="preserve">　个人所得税的征收管理，依照《中华人民共和国税收征收管理法》的规定执行。</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第十四条</w:t>
      </w:r>
      <w:r w:rsidRPr="002E035C">
        <w:rPr>
          <w:rFonts w:hint="eastAsia"/>
          <w:color w:val="333333"/>
        </w:rPr>
        <w:t xml:space="preserve">　国务院根据本法制定实施条例。</w:t>
      </w:r>
    </w:p>
    <w:p w:rsidR="00360C39" w:rsidRPr="002E035C" w:rsidRDefault="00360C39" w:rsidP="002E035C">
      <w:pPr>
        <w:pStyle w:val="a5"/>
        <w:shd w:val="clear" w:color="auto" w:fill="FFFFFF"/>
        <w:spacing w:before="0" w:beforeAutospacing="0" w:after="0" w:afterAutospacing="0" w:line="400" w:lineRule="exact"/>
        <w:rPr>
          <w:rFonts w:hint="eastAsia"/>
          <w:color w:val="333333"/>
        </w:rPr>
      </w:pPr>
      <w:r w:rsidRPr="002E035C">
        <w:rPr>
          <w:rFonts w:hint="eastAsia"/>
          <w:color w:val="333333"/>
        </w:rPr>
        <w:t xml:space="preserve">　　</w:t>
      </w:r>
      <w:r w:rsidRPr="002E035C">
        <w:rPr>
          <w:rStyle w:val="a6"/>
          <w:rFonts w:hint="eastAsia"/>
          <w:color w:val="333333"/>
        </w:rPr>
        <w:t>第十五条</w:t>
      </w:r>
      <w:r w:rsidRPr="002E035C">
        <w:rPr>
          <w:rFonts w:hint="eastAsia"/>
          <w:color w:val="333333"/>
        </w:rPr>
        <w:t xml:space="preserve">　本法自公布之日起施行</w:t>
      </w:r>
    </w:p>
    <w:p w:rsidR="00052990" w:rsidRPr="00052990" w:rsidRDefault="00052990" w:rsidP="00052990">
      <w:pPr>
        <w:widowControl/>
        <w:spacing w:line="390" w:lineRule="atLeast"/>
        <w:ind w:firstLine="480"/>
        <w:jc w:val="left"/>
        <w:rPr>
          <w:rFonts w:ascii="宋体" w:eastAsia="宋体" w:hAnsi="宋体" w:cs="宋体" w:hint="eastAsia"/>
          <w:color w:val="333333"/>
          <w:kern w:val="0"/>
          <w:szCs w:val="21"/>
        </w:rPr>
      </w:pPr>
      <w:r w:rsidRPr="00052990">
        <w:rPr>
          <w:rFonts w:ascii="宋体" w:eastAsia="宋体" w:hAnsi="宋体" w:cs="宋体" w:hint="eastAsia"/>
          <w:color w:val="333333"/>
          <w:kern w:val="0"/>
          <w:szCs w:val="21"/>
        </w:rPr>
        <w:t>应纳个人所得税税额=</w:t>
      </w:r>
      <w:hyperlink r:id="rId17" w:tgtFrame="_blank" w:tooltip="应纳税所得额" w:history="1">
        <w:r w:rsidRPr="00052990">
          <w:rPr>
            <w:rFonts w:ascii="宋体" w:eastAsia="宋体" w:hAnsi="宋体" w:cs="宋体" w:hint="eastAsia"/>
            <w:color w:val="3C78C3"/>
            <w:kern w:val="0"/>
          </w:rPr>
          <w:t>应纳税所得额</w:t>
        </w:r>
      </w:hyperlink>
      <w:r w:rsidRPr="00052990">
        <w:rPr>
          <w:rFonts w:ascii="宋体" w:eastAsia="宋体" w:hAnsi="宋体" w:cs="宋体" w:hint="eastAsia"/>
          <w:color w:val="333333"/>
          <w:kern w:val="0"/>
          <w:szCs w:val="21"/>
        </w:rPr>
        <w:t xml:space="preserve">×适用税率-速算扣除数；扣除标准3500元/月；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7"/>
        <w:gridCol w:w="3144"/>
        <w:gridCol w:w="2385"/>
        <w:gridCol w:w="945"/>
        <w:gridCol w:w="1275"/>
      </w:tblGrid>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级数</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全月应纳税所得额（含税级距）</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全月应纳税所得额（不含税级距）</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税率（%）</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速算扣除数</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1</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不超过1,500元</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不超过1455元的</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3</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0</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2</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超过1,500元至4,500元的部分</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超过1455元至4155元的部分</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10</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105</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3</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超过4,500元至9,000元的部分</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超过4155元至7755元的部分</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20</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555</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4</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超过9,000元至35,000元的部分</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超过7755元至27255元的部分</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25</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1,005</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5</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超过35,000元至55,000元的部分</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超过27255元至41255元的部分</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30</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2,755</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6</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超过55,000元至80,000元的部分</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超过41255元至57505元的部分</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35</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5,505</w:t>
            </w:r>
          </w:p>
        </w:tc>
      </w:tr>
      <w:tr w:rsidR="00052990" w:rsidRPr="00052990" w:rsidTr="00052990">
        <w:trPr>
          <w:tblCellSpacing w:w="0" w:type="dxa"/>
          <w:jc w:val="center"/>
        </w:trPr>
        <w:tc>
          <w:tcPr>
            <w:tcW w:w="577"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7</w:t>
            </w:r>
          </w:p>
        </w:tc>
        <w:tc>
          <w:tcPr>
            <w:tcW w:w="3144"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超过80,000元的部分</w:t>
            </w:r>
          </w:p>
        </w:tc>
        <w:tc>
          <w:tcPr>
            <w:tcW w:w="238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超过57505元的部分</w:t>
            </w:r>
          </w:p>
        </w:tc>
        <w:tc>
          <w:tcPr>
            <w:tcW w:w="94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45</w:t>
            </w:r>
          </w:p>
        </w:tc>
        <w:tc>
          <w:tcPr>
            <w:tcW w:w="1275" w:type="dxa"/>
            <w:vAlign w:val="center"/>
            <w:hideMark/>
          </w:tcPr>
          <w:p w:rsidR="00052990" w:rsidRPr="00052990" w:rsidRDefault="00052990" w:rsidP="00052990">
            <w:pPr>
              <w:widowControl/>
              <w:spacing w:line="315" w:lineRule="atLeast"/>
              <w:jc w:val="left"/>
              <w:rPr>
                <w:rFonts w:ascii="宋体" w:eastAsia="宋体" w:hAnsi="宋体" w:cs="宋体"/>
                <w:color w:val="333333"/>
                <w:kern w:val="0"/>
                <w:szCs w:val="21"/>
              </w:rPr>
            </w:pPr>
            <w:r w:rsidRPr="00052990">
              <w:rPr>
                <w:rFonts w:ascii="宋体" w:eastAsia="宋体" w:hAnsi="宋体" w:cs="宋体" w:hint="eastAsia"/>
                <w:color w:val="333333"/>
                <w:kern w:val="0"/>
                <w:szCs w:val="21"/>
              </w:rPr>
              <w:t>13,505</w:t>
            </w:r>
          </w:p>
        </w:tc>
      </w:tr>
    </w:tbl>
    <w:p w:rsidR="00F36796" w:rsidRPr="00360C39" w:rsidRDefault="00F36796" w:rsidP="00052990">
      <w:pPr>
        <w:spacing w:line="400" w:lineRule="exact"/>
        <w:rPr>
          <w:sz w:val="24"/>
          <w:szCs w:val="24"/>
        </w:rPr>
      </w:pPr>
    </w:p>
    <w:sectPr w:rsidR="00F36796" w:rsidRPr="00360C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796" w:rsidRDefault="00F36796" w:rsidP="00360C39">
      <w:pPr>
        <w:ind w:firstLine="420"/>
      </w:pPr>
      <w:r>
        <w:separator/>
      </w:r>
    </w:p>
  </w:endnote>
  <w:endnote w:type="continuationSeparator" w:id="1">
    <w:p w:rsidR="00F36796" w:rsidRDefault="00F36796" w:rsidP="00360C3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796" w:rsidRDefault="00F36796" w:rsidP="00360C39">
      <w:pPr>
        <w:ind w:firstLine="420"/>
      </w:pPr>
      <w:r>
        <w:separator/>
      </w:r>
    </w:p>
  </w:footnote>
  <w:footnote w:type="continuationSeparator" w:id="1">
    <w:p w:rsidR="00F36796" w:rsidRDefault="00F36796" w:rsidP="00360C39">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C39"/>
    <w:rsid w:val="00052990"/>
    <w:rsid w:val="002E035C"/>
    <w:rsid w:val="00360C39"/>
    <w:rsid w:val="00F36796"/>
    <w:rsid w:val="00FE5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C39"/>
    <w:rPr>
      <w:sz w:val="18"/>
      <w:szCs w:val="18"/>
    </w:rPr>
  </w:style>
  <w:style w:type="paragraph" w:styleId="a4">
    <w:name w:val="footer"/>
    <w:basedOn w:val="a"/>
    <w:link w:val="Char0"/>
    <w:uiPriority w:val="99"/>
    <w:semiHidden/>
    <w:unhideWhenUsed/>
    <w:rsid w:val="00360C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C39"/>
    <w:rPr>
      <w:sz w:val="18"/>
      <w:szCs w:val="18"/>
    </w:rPr>
  </w:style>
  <w:style w:type="paragraph" w:styleId="a5">
    <w:name w:val="Normal (Web)"/>
    <w:basedOn w:val="a"/>
    <w:uiPriority w:val="99"/>
    <w:unhideWhenUsed/>
    <w:rsid w:val="00360C3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60C39"/>
    <w:rPr>
      <w:b/>
      <w:bCs/>
    </w:rPr>
  </w:style>
  <w:style w:type="character" w:styleId="a7">
    <w:name w:val="Hyperlink"/>
    <w:basedOn w:val="a0"/>
    <w:uiPriority w:val="99"/>
    <w:semiHidden/>
    <w:unhideWhenUsed/>
    <w:rsid w:val="00360C39"/>
    <w:rPr>
      <w:color w:val="0000FF"/>
      <w:u w:val="single"/>
    </w:rPr>
  </w:style>
</w:styles>
</file>

<file path=word/webSettings.xml><?xml version="1.0" encoding="utf-8"?>
<w:webSettings xmlns:r="http://schemas.openxmlformats.org/officeDocument/2006/relationships" xmlns:w="http://schemas.openxmlformats.org/wordprocessingml/2006/main">
  <w:divs>
    <w:div w:id="423694248">
      <w:bodyDiv w:val="1"/>
      <w:marLeft w:val="0"/>
      <w:marRight w:val="0"/>
      <w:marTop w:val="0"/>
      <w:marBottom w:val="0"/>
      <w:divBdr>
        <w:top w:val="none" w:sz="0" w:space="0" w:color="auto"/>
        <w:left w:val="none" w:sz="0" w:space="0" w:color="auto"/>
        <w:bottom w:val="none" w:sz="0" w:space="0" w:color="auto"/>
        <w:right w:val="none" w:sz="0" w:space="0" w:color="auto"/>
      </w:divBdr>
    </w:div>
    <w:div w:id="14348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0&amp;is_app=0&amp;jk=3237c64555e3aef3&amp;k=%B2%C6%B2%FA&amp;k0=%B2%C6%B2%FA&amp;kdi0=0&amp;luki=6&amp;n=10&amp;p=baidu&amp;q=27086079_cpr&amp;rb=0&amp;rs=1&amp;seller_id=1&amp;sid=f3aee35545c63732&amp;ssp2=1&amp;stid=0&amp;t=tpclicked3_hc&amp;tu=u2105128&amp;u=http%3A%2F%2Fwww%2Ekuaiji%2Ecom%2Ffagui%2F1702317&amp;urlid=0" TargetMode="External"/><Relationship Id="rId13" Type="http://schemas.openxmlformats.org/officeDocument/2006/relationships/hyperlink" Target="http://cpro.baidu.com/cpro/ui/uijs.php?adclass=0&amp;app_id=0&amp;c=news&amp;cf=1001&amp;ch=0&amp;di=128&amp;fv=0&amp;is_app=0&amp;jk=3237c64555e3aef3&amp;k=%B3%D0%B0%FC%BE%AD%D3%AA&amp;k0=%B3%D0%B0%FC%BE%AD%D3%AA&amp;kdi0=0&amp;luki=5&amp;n=10&amp;p=baidu&amp;q=27086079_cpr&amp;rb=0&amp;rs=1&amp;seller_id=1&amp;sid=f3aee35545c63732&amp;ssp2=1&amp;stid=0&amp;t=tpclicked3_hc&amp;tu=u2105128&amp;u=http%3A%2F%2Fwww%2Ekuaiji%2Ecom%2Ffagui%2F1702317&amp;urlid=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pro.baidu.com/cpro/ui/uijs.php?adclass=0&amp;app_id=0&amp;c=news&amp;cf=1001&amp;ch=0&amp;di=128&amp;fv=0&amp;is_app=0&amp;jk=3237c64555e3aef3&amp;k=%B9%C9%CF%A2&amp;k0=%B9%C9%CF%A2&amp;kdi0=0&amp;luki=4&amp;n=10&amp;p=baidu&amp;q=27086079_cpr&amp;rb=0&amp;rs=1&amp;seller_id=1&amp;sid=f3aee35545c63732&amp;ssp2=1&amp;stid=0&amp;t=tpclicked3_hc&amp;tu=u2105128&amp;u=http%3A%2F%2Fwww%2Ekuaiji%2Ecom%2Ffagui%2F1702317&amp;urlid=0" TargetMode="External"/><Relationship Id="rId12" Type="http://schemas.openxmlformats.org/officeDocument/2006/relationships/hyperlink" Target="http://cpro.baidu.com/cpro/ui/uijs.php?adclass=0&amp;app_id=0&amp;c=news&amp;cf=1001&amp;ch=0&amp;di=128&amp;fv=0&amp;is_app=0&amp;jk=3237c64555e3aef3&amp;k=%C3%E2%CB%B0&amp;k0=%C3%E2%CB%B0&amp;kdi0=0&amp;luki=7&amp;n=10&amp;p=baidu&amp;q=27086079_cpr&amp;rb=0&amp;rs=1&amp;seller_id=1&amp;sid=f3aee35545c63732&amp;ssp2=1&amp;stid=0&amp;t=tpclicked3_hc&amp;tu=u2105128&amp;u=http%3A%2F%2Fwww%2Ekuaiji%2Ecom%2Ffagui%2F1702317&amp;urlid=0" TargetMode="External"/><Relationship Id="rId17" Type="http://schemas.openxmlformats.org/officeDocument/2006/relationships/hyperlink" Target="http://www.chinaacc.com/shuishou/" TargetMode="External"/><Relationship Id="rId2" Type="http://schemas.openxmlformats.org/officeDocument/2006/relationships/settings" Target="settings.xml"/><Relationship Id="rId16" Type="http://schemas.openxmlformats.org/officeDocument/2006/relationships/hyperlink" Target="http://cpro.baidu.com/cpro/ui/uijs.php?adclass=0&amp;app_id=0&amp;c=news&amp;cf=1001&amp;ch=0&amp;di=128&amp;fv=0&amp;is_app=0&amp;jk=3237c64555e3aef3&amp;k=%B3%D0%B0%FC%BE%AD%D3%AA&amp;k0=%B3%D0%B0%FC%BE%AD%D3%AA&amp;kdi0=0&amp;luki=5&amp;n=10&amp;p=baidu&amp;q=27086079_cpr&amp;rb=0&amp;rs=1&amp;seller_id=1&amp;sid=f3aee35545c63732&amp;ssp2=1&amp;stid=0&amp;t=tpclicked3_hc&amp;tu=u2105128&amp;u=http%3A%2F%2Fwww%2Ekuaiji%2Ecom%2Ffagui%2F1702317&amp;urlid=0" TargetMode="External"/><Relationship Id="rId1" Type="http://schemas.openxmlformats.org/officeDocument/2006/relationships/styles" Target="styles.xml"/><Relationship Id="rId6" Type="http://schemas.openxmlformats.org/officeDocument/2006/relationships/hyperlink" Target="http://cpro.baidu.com/cpro/ui/uijs.php?adclass=0&amp;app_id=0&amp;c=news&amp;cf=1001&amp;ch=0&amp;di=128&amp;fv=0&amp;is_app=0&amp;jk=3237c64555e3aef3&amp;k=%B3%D0%B0%FC%BE%AD%D3%AA&amp;k0=%B3%D0%B0%FC%BE%AD%D3%AA&amp;kdi0=0&amp;luki=5&amp;n=10&amp;p=baidu&amp;q=27086079_cpr&amp;rb=0&amp;rs=1&amp;seller_id=1&amp;sid=f3aee35545c63732&amp;ssp2=1&amp;stid=0&amp;t=tpclicked3_hc&amp;tu=u2105128&amp;u=http%3A%2F%2Fwww%2Ekuaiji%2Ecom%2Ffagui%2F1702317&amp;urlid=0" TargetMode="External"/><Relationship Id="rId11" Type="http://schemas.openxmlformats.org/officeDocument/2006/relationships/hyperlink" Target="http://cpro.baidu.com/cpro/ui/uijs.php?adclass=0&amp;app_id=0&amp;c=news&amp;cf=1001&amp;ch=0&amp;di=128&amp;fv=0&amp;is_app=0&amp;jk=3237c64555e3aef3&amp;k=%B8%A3%C0%FB%B7%D1&amp;k0=%B8%A3%C0%FB%B7%D1&amp;kdi0=0&amp;luki=2&amp;n=10&amp;p=baidu&amp;q=27086079_cpr&amp;rb=0&amp;rs=1&amp;seller_id=1&amp;sid=f3aee35545c63732&amp;ssp2=1&amp;stid=0&amp;t=tpclicked3_hc&amp;tu=u2105128&amp;u=http%3A%2F%2Fwww%2Ekuaiji%2Ecom%2Ffagui%2F1702317&amp;urlid=0" TargetMode="External"/><Relationship Id="rId5" Type="http://schemas.openxmlformats.org/officeDocument/2006/relationships/endnotes" Target="endnotes.xml"/><Relationship Id="rId15" Type="http://schemas.openxmlformats.org/officeDocument/2006/relationships/hyperlink" Target="http://cpro.baidu.com/cpro/ui/uijs.php?adclass=0&amp;app_id=0&amp;c=news&amp;cf=1001&amp;ch=0&amp;di=128&amp;fv=0&amp;is_app=0&amp;jk=3237c64555e3aef3&amp;k=%B9%C9%CF%A2&amp;k0=%B9%C9%CF%A2&amp;kdi0=0&amp;luki=4&amp;n=10&amp;p=baidu&amp;q=27086079_cpr&amp;rb=0&amp;rs=1&amp;seller_id=1&amp;sid=f3aee35545c63732&amp;ssp2=1&amp;stid=0&amp;t=tpclicked3_hc&amp;tu=u2105128&amp;u=http%3A%2F%2Fwww%2Ekuaiji%2Ecom%2Ffagui%2F1702317&amp;urlid=0" TargetMode="External"/><Relationship Id="rId10" Type="http://schemas.openxmlformats.org/officeDocument/2006/relationships/hyperlink" Target="http://cpro.baidu.com/cpro/ui/uijs.php?adclass=0&amp;app_id=0&amp;c=news&amp;cf=1001&amp;ch=0&amp;di=128&amp;fv=0&amp;is_app=0&amp;jk=3237c64555e3aef3&amp;k=%C8%CB%C3%F1%D5%FE%B8%AE&amp;k0=%C8%CB%C3%F1%D5%FE%B8%AE&amp;kdi0=0&amp;luki=1&amp;n=10&amp;p=baidu&amp;q=27086079_cpr&amp;rb=0&amp;rs=1&amp;seller_id=1&amp;sid=f3aee35545c63732&amp;ssp2=1&amp;stid=0&amp;t=tpclicked3_hc&amp;tu=u2105128&amp;u=http%3A%2F%2Fwww%2Ekuaiji%2Ecom%2Ffagui%2F1702317&amp;urlid=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pro.baidu.com/cpro/ui/uijs.php?adclass=0&amp;app_id=0&amp;c=news&amp;cf=1001&amp;ch=0&amp;di=128&amp;fv=0&amp;is_app=0&amp;jk=3237c64555e3aef3&amp;k=%CB%B0%C2%CA&amp;k0=%CB%B0%C2%CA&amp;kdi0=0&amp;luki=8&amp;n=10&amp;p=baidu&amp;q=27086079_cpr&amp;rb=0&amp;rs=1&amp;seller_id=1&amp;sid=f3aee35545c63732&amp;ssp2=1&amp;stid=0&amp;t=tpclicked3_hc&amp;tu=u2105128&amp;u=http%3A%2F%2Fwww%2Ekuaiji%2Ecom%2Ffagui%2F1702317&amp;urlid=0" TargetMode="External"/><Relationship Id="rId14" Type="http://schemas.openxmlformats.org/officeDocument/2006/relationships/hyperlink" Target="http://cpro.baidu.com/cpro/ui/uijs.php?adclass=0&amp;app_id=0&amp;c=news&amp;cf=1001&amp;ch=0&amp;di=128&amp;fv=0&amp;is_app=0&amp;jk=3237c64555e3aef3&amp;k=%B2%C6%B2%FA&amp;k0=%B2%C6%B2%FA&amp;kdi0=0&amp;luki=6&amp;n=10&amp;p=baidu&amp;q=27086079_cpr&amp;rb=0&amp;rs=1&amp;seller_id=1&amp;sid=f3aee35545c63732&amp;ssp2=1&amp;stid=0&amp;t=tpclicked3_hc&amp;tu=u2105128&amp;u=http%3A%2F%2Fwww%2Ekuaiji%2Ecom%2Ffagui%2F1702317&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1040</Words>
  <Characters>5929</Characters>
  <Application>Microsoft Office Word</Application>
  <DocSecurity>0</DocSecurity>
  <Lines>49</Lines>
  <Paragraphs>13</Paragraphs>
  <ScaleCrop>false</ScaleCrop>
  <Company>Microsoft</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周国强</dc:creator>
  <cp:keywords/>
  <dc:description/>
  <cp:lastModifiedBy>周国强</cp:lastModifiedBy>
  <cp:revision>14</cp:revision>
  <dcterms:created xsi:type="dcterms:W3CDTF">2015-07-11T09:45:00Z</dcterms:created>
  <dcterms:modified xsi:type="dcterms:W3CDTF">2015-07-11T09:54:00Z</dcterms:modified>
</cp:coreProperties>
</file>